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1.</w:t>
      </w:r>
      <w:r>
        <w:rPr>
          <w:rFonts w:hint="eastAsia"/>
          <w:b/>
        </w:rPr>
        <w:t xml:space="preserve"> </w:t>
      </w:r>
      <w:r>
        <w:rPr>
          <w:rFonts w:hint="eastAsia" w:ascii="仿宋_GB2312" w:hAnsi="Times New Roman" w:eastAsia="仿宋_GB2312" w:cs="Times New Roman"/>
          <w:b/>
          <w:sz w:val="32"/>
          <w:szCs w:val="32"/>
        </w:rPr>
        <w:t>项目支出绩效自评表</w:t>
      </w:r>
    </w:p>
    <w:tbl>
      <w:tblPr>
        <w:tblStyle w:val="4"/>
        <w:tblW w:w="8928" w:type="dxa"/>
        <w:jc w:val="center"/>
        <w:tblInd w:w="0" w:type="dxa"/>
        <w:tblLayout w:type="fixed"/>
        <w:tblCellMar>
          <w:top w:w="0" w:type="dxa"/>
          <w:left w:w="108" w:type="dxa"/>
          <w:bottom w:w="0" w:type="dxa"/>
          <w:right w:w="108" w:type="dxa"/>
        </w:tblCellMar>
      </w:tblPr>
      <w:tblGrid>
        <w:gridCol w:w="578"/>
        <w:gridCol w:w="963"/>
        <w:gridCol w:w="1092"/>
        <w:gridCol w:w="718"/>
        <w:gridCol w:w="1114"/>
        <w:gridCol w:w="463"/>
        <w:gridCol w:w="800"/>
        <w:gridCol w:w="912"/>
        <w:gridCol w:w="57"/>
        <w:gridCol w:w="452"/>
        <w:gridCol w:w="244"/>
        <w:gridCol w:w="281"/>
        <w:gridCol w:w="555"/>
        <w:gridCol w:w="699"/>
      </w:tblGrid>
      <w:tr>
        <w:tblPrEx>
          <w:tblLayout w:type="fixed"/>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京财社指[202</w:t>
            </w:r>
            <w:r>
              <w:rPr>
                <w:rFonts w:hint="eastAsia" w:ascii="宋体" w:hAnsi="宋体" w:eastAsia="宋体" w:cs="宋体"/>
                <w:kern w:val="0"/>
                <w:sz w:val="18"/>
                <w:szCs w:val="18"/>
                <w:lang w:val="en-US" w:eastAsia="zh-CN"/>
              </w:rPr>
              <w:t>3</w:t>
            </w: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1790</w:t>
            </w:r>
            <w:r>
              <w:rPr>
                <w:rFonts w:hint="eastAsia" w:ascii="宋体" w:hAnsi="宋体" w:eastAsia="宋体" w:cs="宋体"/>
                <w:kern w:val="0"/>
                <w:sz w:val="18"/>
                <w:szCs w:val="18"/>
              </w:rPr>
              <w:t>号市属国有企业退休人员社会化管理活动服务经费</w:t>
            </w:r>
          </w:p>
        </w:tc>
      </w:tr>
      <w:tr>
        <w:tblPrEx>
          <w:tblLayout w:type="fixed"/>
          <w:tblCellMar>
            <w:top w:w="0" w:type="dxa"/>
            <w:left w:w="108" w:type="dxa"/>
            <w:bottom w:w="0" w:type="dxa"/>
            <w:right w:w="108" w:type="dxa"/>
          </w:tblCellMar>
        </w:tblPrEx>
        <w:trPr>
          <w:trHeight w:val="44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26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1263"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bookmarkStart w:id="0" w:name="OLE_LINK1"/>
            <w:r>
              <w:rPr>
                <w:rFonts w:hint="eastAsia" w:ascii="宋体" w:hAnsi="宋体" w:eastAsia="宋体" w:cs="宋体"/>
                <w:kern w:val="0"/>
                <w:sz w:val="18"/>
                <w:szCs w:val="18"/>
                <w:lang w:val="en-US" w:eastAsia="zh-CN"/>
              </w:rPr>
              <w:t>65.841</w:t>
            </w:r>
            <w:bookmarkEnd w:id="0"/>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23.4</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35.54%</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p>
        </w:tc>
        <w:tc>
          <w:tcPr>
            <w:tcW w:w="1263"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65.841</w:t>
            </w: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23.4</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126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6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15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20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959"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15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街道的国企退休人员社会化管理服务补助资金主要用于各街道组织各类文娱活动、慰问等经费支出和社会化管理服务专员经费支出。</w:t>
            </w:r>
          </w:p>
        </w:tc>
        <w:tc>
          <w:tcPr>
            <w:tcW w:w="320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组织各类文娱活动、慰问等经费支出和社会化管理服务专员经费支出。</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48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社会化退休人员参与活动人数</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13168</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4680</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因人户分离退休人员较多，活动参与人数较少，造成相关经费支出较为缓慢。2025年重新摸排整理退休人员情况，制定时间表，加大活动组织力度。</w:t>
            </w:r>
          </w:p>
        </w:tc>
      </w:tr>
      <w:tr>
        <w:tblPrEx>
          <w:tblLayout w:type="fixed"/>
          <w:tblCellMar>
            <w:top w:w="0" w:type="dxa"/>
            <w:left w:w="108" w:type="dxa"/>
            <w:bottom w:w="0" w:type="dxa"/>
            <w:right w:w="108" w:type="dxa"/>
          </w:tblCellMar>
        </w:tblPrEx>
        <w:trPr>
          <w:trHeight w:val="104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根据相关细则</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优良</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优</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48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2024年度</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29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不超过预算资金</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658410</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234000</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因人户分离退休人员较多，活动参与人数较少，造成相关经费支出较为缓慢。2025年重新摸排整理退休人员情况，制定时间表，加大活动组织力度。</w:t>
            </w:r>
          </w:p>
        </w:tc>
      </w:tr>
      <w:tr>
        <w:tblPrEx>
          <w:tblLayout w:type="fixed"/>
          <w:tblCellMar>
            <w:top w:w="0" w:type="dxa"/>
            <w:left w:w="108" w:type="dxa"/>
            <w:bottom w:w="0" w:type="dxa"/>
            <w:right w:w="108" w:type="dxa"/>
          </w:tblCellMar>
        </w:tblPrEx>
        <w:trPr>
          <w:trHeight w:val="80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w:t>
            </w:r>
            <w:bookmarkStart w:id="1" w:name="OLE_LINK2"/>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bookmarkEnd w:id="1"/>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精心组织社会化退休人员参与丰富多彩的活动</w:t>
            </w:r>
            <w:r>
              <w:rPr>
                <w:rFonts w:hint="eastAsia" w:ascii="华文仿宋" w:hAnsi="华文仿宋" w:eastAsia="华文仿宋" w:cs="宋体"/>
                <w:kern w:val="0"/>
                <w:szCs w:val="21"/>
                <w:lang w:val="en-US" w:eastAsia="zh-CN"/>
              </w:rPr>
              <w:t>，</w:t>
            </w:r>
            <w:r>
              <w:rPr>
                <w:rFonts w:hint="eastAsia" w:ascii="宋体" w:hAnsi="宋体" w:eastAsia="宋体" w:cs="宋体"/>
                <w:color w:val="000000"/>
                <w:kern w:val="0"/>
                <w:sz w:val="18"/>
                <w:szCs w:val="18"/>
                <w:lang w:val="en-US" w:eastAsia="zh-CN"/>
              </w:rPr>
              <w:t>提高退休人员生活质量</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优良</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优良</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服务对象满意度</w:t>
            </w:r>
          </w:p>
        </w:tc>
        <w:tc>
          <w:tcPr>
            <w:tcW w:w="8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9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5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664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84</w:t>
            </w:r>
            <w:bookmarkStart w:id="2" w:name="_GoBack"/>
            <w:bookmarkEnd w:id="2"/>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570" w:right="1474" w:bottom="1542" w:left="1474" w:header="737" w:footer="851" w:gutter="0"/>
          <w:pgNumType w:fmt="numberInDash"/>
          <w:cols w:space="720" w:num="1"/>
          <w:docGrid w:type="lines" w:linePitch="408" w:charSpace="0"/>
        </w:sectPr>
      </w:pPr>
    </w:p>
    <w:p>
      <w:pPr>
        <w:spacing w:line="600" w:lineRule="exact"/>
        <w:rPr>
          <w:rFonts w:ascii="宋体" w:hAnsi="宋体" w:eastAsia="宋体" w:cs="宋体"/>
          <w:b/>
          <w:color w:val="FF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CDC"/>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317B"/>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2193885"/>
    <w:rsid w:val="05601F07"/>
    <w:rsid w:val="0701429F"/>
    <w:rsid w:val="0B9F76F3"/>
    <w:rsid w:val="0BF03AC6"/>
    <w:rsid w:val="0E94134A"/>
    <w:rsid w:val="13F3157C"/>
    <w:rsid w:val="19FB231F"/>
    <w:rsid w:val="1A9909BB"/>
    <w:rsid w:val="1C2A0738"/>
    <w:rsid w:val="1C515C27"/>
    <w:rsid w:val="21BC015D"/>
    <w:rsid w:val="22B875EE"/>
    <w:rsid w:val="241F64C7"/>
    <w:rsid w:val="24562779"/>
    <w:rsid w:val="2E987E45"/>
    <w:rsid w:val="30960B0B"/>
    <w:rsid w:val="31D2616E"/>
    <w:rsid w:val="34B457FD"/>
    <w:rsid w:val="41AE4DF3"/>
    <w:rsid w:val="45894820"/>
    <w:rsid w:val="46E054A2"/>
    <w:rsid w:val="4E2D50D3"/>
    <w:rsid w:val="50200836"/>
    <w:rsid w:val="51A53D6A"/>
    <w:rsid w:val="51F36FA8"/>
    <w:rsid w:val="53E86155"/>
    <w:rsid w:val="5839477D"/>
    <w:rsid w:val="59C13F7C"/>
    <w:rsid w:val="5ECF07D5"/>
    <w:rsid w:val="616D4860"/>
    <w:rsid w:val="646D4367"/>
    <w:rsid w:val="67764913"/>
    <w:rsid w:val="6BD96044"/>
    <w:rsid w:val="729107F8"/>
    <w:rsid w:val="74701084"/>
    <w:rsid w:val="75241B5F"/>
    <w:rsid w:val="7C0955D2"/>
    <w:rsid w:val="7FDD4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175</Words>
  <Characters>1002</Characters>
  <Lines>8</Lines>
  <Paragraphs>2</Paragraphs>
  <TotalTime>1</TotalTime>
  <ScaleCrop>false</ScaleCrop>
  <LinksUpToDate>false</LinksUpToDate>
  <CharactersWithSpaces>1175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2022-02-11T06:49:00Z</dcterms:created>
  <dc:creator>王雅婧</dc:creator>
  <cp:lastModifiedBy>admin</cp:lastModifiedBy>
  <cp:lastPrinted>2024-02-19T07:38:00Z</cp:lastPrinted>
  <dcterms:modified xsi:type="dcterms:W3CDTF">2025-08-27T08:54:05Z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